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9783" w14:textId="100CF180" w:rsidR="000A1BB4" w:rsidRPr="00DF6AFC" w:rsidRDefault="000A1BB4" w:rsidP="00002B28">
      <w:pPr>
        <w:shd w:val="clear" w:color="auto" w:fill="FFFFFF"/>
        <w:spacing w:after="0" w:line="336" w:lineRule="atLeast"/>
        <w:rPr>
          <w:rFonts w:eastAsia="Times New Roman" w:cstheme="minorHAnsi"/>
        </w:rPr>
      </w:pPr>
    </w:p>
    <w:p w14:paraId="6754F13E" w14:textId="77777777" w:rsidR="00002B28" w:rsidRDefault="00002B28" w:rsidP="00002B28">
      <w:pPr>
        <w:shd w:val="clear" w:color="auto" w:fill="FFFFFF"/>
        <w:spacing w:after="0" w:line="336" w:lineRule="atLeast"/>
        <w:rPr>
          <w:rFonts w:cstheme="minorHAnsi"/>
        </w:rPr>
      </w:pPr>
      <w:r>
        <w:rPr>
          <w:rFonts w:cstheme="minorHAnsi"/>
        </w:rPr>
        <w:t>165</w:t>
      </w:r>
    </w:p>
    <w:p w14:paraId="40B7CD63" w14:textId="77777777" w:rsidR="00002B28" w:rsidRPr="009B2196" w:rsidRDefault="00002B28" w:rsidP="00002B28">
      <w:pPr>
        <w:pStyle w:val="Heading5"/>
        <w:shd w:val="clear" w:color="auto" w:fill="FFFFFF"/>
        <w:spacing w:before="60" w:beforeAutospacing="0" w:after="60" w:afterAutospacing="0"/>
        <w:rPr>
          <w:rFonts w:asciiTheme="minorHAnsi" w:hAnsiTheme="minorHAnsi" w:cstheme="minorHAnsi"/>
          <w:b w:val="0"/>
          <w:sz w:val="22"/>
          <w:szCs w:val="22"/>
        </w:rPr>
      </w:pPr>
      <w:proofErr w:type="spellStart"/>
      <w:r w:rsidRPr="009B2196">
        <w:rPr>
          <w:rStyle w:val="topdisplay"/>
          <w:rFonts w:asciiTheme="minorHAnsi" w:hAnsiTheme="minorHAnsi" w:cstheme="minorHAnsi"/>
          <w:b w:val="0"/>
          <w:bCs w:val="0"/>
          <w:iCs/>
          <w:sz w:val="22"/>
          <w:szCs w:val="22"/>
          <w:bdr w:val="none" w:sz="0" w:space="0" w:color="auto" w:frame="1"/>
          <w:shd w:val="clear" w:color="auto" w:fill="FFFFFF"/>
        </w:rPr>
        <w:t>Castañeda</w:t>
      </w:r>
      <w:proofErr w:type="spellEnd"/>
      <w:r w:rsidRPr="009B2196">
        <w:rPr>
          <w:rStyle w:val="topdisplay"/>
          <w:rFonts w:asciiTheme="minorHAnsi" w:hAnsiTheme="minorHAnsi" w:cstheme="minorHAnsi"/>
          <w:b w:val="0"/>
          <w:iCs/>
          <w:sz w:val="22"/>
          <w:szCs w:val="22"/>
          <w:bdr w:val="none" w:sz="0" w:space="0" w:color="auto" w:frame="1"/>
          <w:shd w:val="clear" w:color="auto" w:fill="FFFFFF"/>
        </w:rPr>
        <w:t>, I.</w:t>
      </w:r>
      <w:r>
        <w:rPr>
          <w:rStyle w:val="topdisplay"/>
          <w:rFonts w:asciiTheme="minorHAnsi" w:hAnsiTheme="minorHAnsi" w:cstheme="minorHAnsi"/>
          <w:b w:val="0"/>
          <w:iCs/>
          <w:sz w:val="22"/>
          <w:szCs w:val="22"/>
          <w:bdr w:val="none" w:sz="0" w:space="0" w:color="auto" w:frame="1"/>
          <w:shd w:val="clear" w:color="auto" w:fill="FFFFFF"/>
        </w:rPr>
        <w:t xml:space="preserve"> </w:t>
      </w:r>
      <w:r w:rsidRPr="009B2196">
        <w:rPr>
          <w:rStyle w:val="topdisplay"/>
          <w:rFonts w:asciiTheme="minorHAnsi" w:hAnsiTheme="minorHAnsi" w:cstheme="minorHAnsi"/>
          <w:b w:val="0"/>
          <w:iCs/>
          <w:sz w:val="22"/>
          <w:szCs w:val="22"/>
          <w:bdr w:val="none" w:sz="0" w:space="0" w:color="auto" w:frame="1"/>
          <w:shd w:val="clear" w:color="auto" w:fill="FFFFFF"/>
        </w:rPr>
        <w:t>S</w:t>
      </w:r>
      <w:r w:rsidRPr="00800647">
        <w:rPr>
          <w:rStyle w:val="topdisplay"/>
          <w:rFonts w:asciiTheme="minorHAnsi" w:hAnsiTheme="minorHAnsi" w:cstheme="minorHAnsi"/>
          <w:b w:val="0"/>
          <w:iCs/>
          <w:sz w:val="22"/>
          <w:szCs w:val="22"/>
          <w:bdr w:val="none" w:sz="0" w:space="0" w:color="auto" w:frame="1"/>
          <w:shd w:val="clear" w:color="auto" w:fill="FFFFFF"/>
        </w:rPr>
        <w:t>., Thompson-Munson, M.</w:t>
      </w:r>
      <w:r>
        <w:rPr>
          <w:rStyle w:val="topdisplay"/>
          <w:rFonts w:asciiTheme="minorHAnsi" w:hAnsiTheme="minorHAnsi" w:cstheme="minorHAnsi"/>
          <w:b w:val="0"/>
          <w:iCs/>
          <w:sz w:val="22"/>
          <w:szCs w:val="22"/>
          <w:bdr w:val="none" w:sz="0" w:space="0" w:color="auto" w:frame="1"/>
          <w:shd w:val="clear" w:color="auto" w:fill="FFFFFF"/>
        </w:rPr>
        <w:t xml:space="preserve"> </w:t>
      </w:r>
      <w:r w:rsidRPr="00800647">
        <w:rPr>
          <w:rStyle w:val="topdisplay"/>
          <w:rFonts w:asciiTheme="minorHAnsi" w:hAnsiTheme="minorHAnsi" w:cstheme="minorHAnsi"/>
          <w:b w:val="0"/>
          <w:iCs/>
          <w:sz w:val="22"/>
          <w:szCs w:val="22"/>
          <w:bdr w:val="none" w:sz="0" w:space="0" w:color="auto" w:frame="1"/>
          <w:shd w:val="clear" w:color="auto" w:fill="FFFFFF"/>
        </w:rPr>
        <w:t xml:space="preserve">E., Gilchrist, S., </w:t>
      </w:r>
      <w:proofErr w:type="spellStart"/>
      <w:r w:rsidRPr="00800647">
        <w:rPr>
          <w:rStyle w:val="topdisplay"/>
          <w:rFonts w:asciiTheme="minorHAnsi" w:hAnsiTheme="minorHAnsi" w:cstheme="minorHAnsi"/>
          <w:b w:val="0"/>
          <w:iCs/>
          <w:sz w:val="22"/>
          <w:szCs w:val="22"/>
          <w:bdr w:val="none" w:sz="0" w:space="0" w:color="auto" w:frame="1"/>
          <w:shd w:val="clear" w:color="auto" w:fill="FFFFFF"/>
        </w:rPr>
        <w:t>Lupien</w:t>
      </w:r>
      <w:proofErr w:type="spellEnd"/>
      <w:r w:rsidRPr="00800647">
        <w:rPr>
          <w:rStyle w:val="topdisplay"/>
          <w:rFonts w:asciiTheme="minorHAnsi" w:hAnsiTheme="minorHAnsi" w:cstheme="minorHAnsi"/>
          <w:b w:val="0"/>
          <w:iCs/>
          <w:sz w:val="22"/>
          <w:szCs w:val="22"/>
          <w:bdr w:val="none" w:sz="0" w:space="0" w:color="auto" w:frame="1"/>
          <w:shd w:val="clear" w:color="auto" w:fill="FFFFFF"/>
        </w:rPr>
        <w:t>, R.,</w:t>
      </w:r>
      <w:r>
        <w:rPr>
          <w:rStyle w:val="topdisplay"/>
          <w:rFonts w:asciiTheme="minorHAnsi" w:hAnsiTheme="minorHAnsi" w:cstheme="minorHAnsi"/>
          <w:b w:val="0"/>
          <w:iCs/>
          <w:sz w:val="22"/>
          <w:szCs w:val="22"/>
          <w:bdr w:val="none" w:sz="0" w:space="0" w:color="auto" w:frame="1"/>
          <w:shd w:val="clear" w:color="auto" w:fill="FFFFFF"/>
        </w:rPr>
        <w:t xml:space="preserve"> </w:t>
      </w:r>
      <w:r w:rsidRPr="00800647">
        <w:rPr>
          <w:rStyle w:val="topdisplay"/>
          <w:rFonts w:asciiTheme="minorHAnsi" w:hAnsiTheme="minorHAnsi" w:cstheme="minorHAnsi"/>
          <w:b w:val="0"/>
          <w:iCs/>
          <w:sz w:val="22"/>
          <w:szCs w:val="22"/>
          <w:bdr w:val="none" w:sz="0" w:space="0" w:color="auto" w:frame="1"/>
          <w:shd w:val="clear" w:color="auto" w:fill="FFFFFF"/>
        </w:rPr>
        <w:t>Russell, J.</w:t>
      </w:r>
      <w:r>
        <w:rPr>
          <w:rStyle w:val="topdisplay"/>
          <w:rFonts w:asciiTheme="minorHAnsi" w:hAnsiTheme="minorHAnsi" w:cstheme="minorHAnsi"/>
          <w:b w:val="0"/>
          <w:iCs/>
          <w:sz w:val="22"/>
          <w:szCs w:val="22"/>
          <w:bdr w:val="none" w:sz="0" w:space="0" w:color="auto" w:frame="1"/>
          <w:shd w:val="clear" w:color="auto" w:fill="FFFFFF"/>
        </w:rPr>
        <w:t xml:space="preserve"> </w:t>
      </w:r>
      <w:r w:rsidRPr="00800647">
        <w:rPr>
          <w:rStyle w:val="topdisplay"/>
          <w:rFonts w:asciiTheme="minorHAnsi" w:hAnsiTheme="minorHAnsi" w:cstheme="minorHAnsi"/>
          <w:b w:val="0"/>
          <w:iCs/>
          <w:sz w:val="22"/>
          <w:szCs w:val="22"/>
          <w:bdr w:val="none" w:sz="0" w:space="0" w:color="auto" w:frame="1"/>
          <w:shd w:val="clear" w:color="auto" w:fill="FFFFFF"/>
        </w:rPr>
        <w:t xml:space="preserve">M., </w:t>
      </w:r>
      <w:proofErr w:type="spellStart"/>
      <w:r w:rsidRPr="00800647">
        <w:rPr>
          <w:rStyle w:val="topdisplay"/>
          <w:rFonts w:asciiTheme="minorHAnsi" w:hAnsiTheme="minorHAnsi" w:cstheme="minorHAnsi"/>
          <w:b w:val="0"/>
          <w:iCs/>
          <w:sz w:val="22"/>
          <w:szCs w:val="22"/>
          <w:bdr w:val="none" w:sz="0" w:space="0" w:color="auto" w:frame="1"/>
          <w:shd w:val="clear" w:color="auto" w:fill="FFFFFF"/>
        </w:rPr>
        <w:t>Salacup</w:t>
      </w:r>
      <w:proofErr w:type="spellEnd"/>
      <w:r w:rsidRPr="00800647">
        <w:rPr>
          <w:rStyle w:val="topdisplay"/>
          <w:rFonts w:asciiTheme="minorHAnsi" w:hAnsiTheme="minorHAnsi" w:cstheme="minorHAnsi"/>
          <w:b w:val="0"/>
          <w:iCs/>
          <w:sz w:val="22"/>
          <w:szCs w:val="22"/>
          <w:bdr w:val="none" w:sz="0" w:space="0" w:color="auto" w:frame="1"/>
          <w:shd w:val="clear" w:color="auto" w:fill="FFFFFF"/>
        </w:rPr>
        <w:t xml:space="preserve">, J., </w:t>
      </w:r>
      <w:proofErr w:type="spellStart"/>
      <w:r w:rsidRPr="00800647">
        <w:rPr>
          <w:rStyle w:val="topdisplay"/>
          <w:rFonts w:asciiTheme="minorHAnsi" w:hAnsiTheme="minorHAnsi" w:cstheme="minorHAnsi"/>
          <w:b w:val="0"/>
          <w:iCs/>
          <w:sz w:val="22"/>
          <w:szCs w:val="22"/>
          <w:bdr w:val="none" w:sz="0" w:space="0" w:color="auto" w:frame="1"/>
          <w:shd w:val="clear" w:color="auto" w:fill="FFFFFF"/>
        </w:rPr>
        <w:t>Feibel</w:t>
      </w:r>
      <w:proofErr w:type="spellEnd"/>
      <w:r w:rsidRPr="00800647">
        <w:rPr>
          <w:rStyle w:val="topdisplay"/>
          <w:rFonts w:asciiTheme="minorHAnsi" w:hAnsiTheme="minorHAnsi" w:cstheme="minorHAnsi"/>
          <w:b w:val="0"/>
          <w:iCs/>
          <w:sz w:val="22"/>
          <w:szCs w:val="22"/>
          <w:bdr w:val="none" w:sz="0" w:space="0" w:color="auto" w:frame="1"/>
          <w:shd w:val="clear" w:color="auto" w:fill="FFFFFF"/>
        </w:rPr>
        <w:t>, C.</w:t>
      </w:r>
      <w:r>
        <w:rPr>
          <w:rStyle w:val="topdisplay"/>
          <w:rFonts w:asciiTheme="minorHAnsi" w:hAnsiTheme="minorHAnsi" w:cstheme="minorHAnsi"/>
          <w:b w:val="0"/>
          <w:iCs/>
          <w:sz w:val="22"/>
          <w:szCs w:val="22"/>
          <w:bdr w:val="none" w:sz="0" w:space="0" w:color="auto" w:frame="1"/>
          <w:shd w:val="clear" w:color="auto" w:fill="FFFFFF"/>
        </w:rPr>
        <w:t xml:space="preserve"> </w:t>
      </w:r>
      <w:r w:rsidRPr="00800647">
        <w:rPr>
          <w:rStyle w:val="topdisplay"/>
          <w:rFonts w:asciiTheme="minorHAnsi" w:hAnsiTheme="minorHAnsi" w:cstheme="minorHAnsi"/>
          <w:b w:val="0"/>
          <w:iCs/>
          <w:sz w:val="22"/>
          <w:szCs w:val="22"/>
          <w:bdr w:val="none" w:sz="0" w:space="0" w:color="auto" w:frame="1"/>
          <w:shd w:val="clear" w:color="auto" w:fill="FFFFFF"/>
        </w:rPr>
        <w:t>S. and Cohen, A.</w:t>
      </w:r>
      <w:r>
        <w:rPr>
          <w:rStyle w:val="topdisplay"/>
          <w:rFonts w:asciiTheme="minorHAnsi" w:hAnsiTheme="minorHAnsi" w:cstheme="minorHAnsi"/>
          <w:b w:val="0"/>
          <w:iCs/>
          <w:sz w:val="22"/>
          <w:szCs w:val="22"/>
          <w:bdr w:val="none" w:sz="0" w:space="0" w:color="auto" w:frame="1"/>
          <w:shd w:val="clear" w:color="auto" w:fill="FFFFFF"/>
        </w:rPr>
        <w:t xml:space="preserve"> </w:t>
      </w:r>
      <w:r w:rsidRPr="00800647">
        <w:rPr>
          <w:rStyle w:val="topdisplay"/>
          <w:rFonts w:asciiTheme="minorHAnsi" w:hAnsiTheme="minorHAnsi" w:cstheme="minorHAnsi"/>
          <w:b w:val="0"/>
          <w:iCs/>
          <w:sz w:val="22"/>
          <w:szCs w:val="22"/>
          <w:bdr w:val="none" w:sz="0" w:space="0" w:color="auto" w:frame="1"/>
          <w:shd w:val="clear" w:color="auto" w:fill="FFFFFF"/>
        </w:rPr>
        <w:t xml:space="preserve">S. </w:t>
      </w:r>
      <w:r>
        <w:rPr>
          <w:rStyle w:val="topdisplay"/>
          <w:rFonts w:asciiTheme="minorHAnsi" w:hAnsiTheme="minorHAnsi" w:cstheme="minorHAnsi"/>
          <w:b w:val="0"/>
          <w:iCs/>
          <w:sz w:val="22"/>
          <w:szCs w:val="22"/>
          <w:bdr w:val="none" w:sz="0" w:space="0" w:color="auto" w:frame="1"/>
          <w:shd w:val="clear" w:color="auto" w:fill="FFFFFF"/>
        </w:rPr>
        <w:t>(</w:t>
      </w:r>
      <w:r w:rsidRPr="00800647">
        <w:rPr>
          <w:rStyle w:val="topdisplay"/>
          <w:rFonts w:asciiTheme="minorHAnsi" w:hAnsiTheme="minorHAnsi" w:cstheme="minorHAnsi"/>
          <w:b w:val="0"/>
          <w:iCs/>
          <w:sz w:val="22"/>
          <w:szCs w:val="22"/>
          <w:bdr w:val="none" w:sz="0" w:space="0" w:color="auto" w:frame="1"/>
          <w:shd w:val="clear" w:color="auto" w:fill="FFFFFF"/>
        </w:rPr>
        <w:t>2018</w:t>
      </w:r>
      <w:r>
        <w:rPr>
          <w:rStyle w:val="topdisplay"/>
          <w:rFonts w:asciiTheme="minorHAnsi" w:hAnsiTheme="minorHAnsi" w:cstheme="minorHAnsi"/>
          <w:b w:val="0"/>
          <w:iCs/>
          <w:sz w:val="22"/>
          <w:szCs w:val="22"/>
          <w:bdr w:val="none" w:sz="0" w:space="0" w:color="auto" w:frame="1"/>
          <w:shd w:val="clear" w:color="auto" w:fill="FFFFFF"/>
        </w:rPr>
        <w:t>)</w:t>
      </w:r>
      <w:hyperlink r:id="rId4" w:history="1">
        <w:r w:rsidRPr="00800647">
          <w:rPr>
            <w:rStyle w:val="sessionlistnumber"/>
            <w:rFonts w:asciiTheme="minorHAnsi" w:hAnsiTheme="minorHAnsi" w:cstheme="minorHAnsi"/>
            <w:b w:val="0"/>
            <w:bCs w:val="0"/>
            <w:sz w:val="22"/>
            <w:szCs w:val="22"/>
            <w:bdr w:val="none" w:sz="0" w:space="0" w:color="auto" w:frame="1"/>
            <w:shd w:val="clear" w:color="auto" w:fill="FFFFFF"/>
          </w:rPr>
          <w:t>.</w:t>
        </w:r>
      </w:hyperlink>
      <w:r w:rsidRPr="00800647">
        <w:rPr>
          <w:rFonts w:asciiTheme="minorHAnsi" w:hAnsiTheme="minorHAnsi" w:cstheme="minorHAnsi"/>
          <w:b w:val="0"/>
          <w:sz w:val="22"/>
          <w:szCs w:val="22"/>
        </w:rPr>
        <w:t xml:space="preserve"> </w:t>
      </w:r>
      <w:hyperlink r:id="rId5" w:history="1">
        <w:r w:rsidRPr="00800647">
          <w:rPr>
            <w:rStyle w:val="finalpapernumber"/>
            <w:rFonts w:asciiTheme="minorHAnsi" w:hAnsiTheme="minorHAnsi" w:cstheme="minorHAnsi"/>
            <w:b w:val="0"/>
            <w:sz w:val="22"/>
            <w:szCs w:val="22"/>
            <w:bdr w:val="none" w:sz="0" w:space="0" w:color="auto" w:frame="1"/>
          </w:rPr>
          <w:t>PP22B-04 </w:t>
        </w:r>
        <w:r w:rsidRPr="00800647">
          <w:rPr>
            <w:rStyle w:val="paperlisttitle"/>
            <w:rFonts w:asciiTheme="minorHAnsi" w:hAnsiTheme="minorHAnsi" w:cstheme="minorHAnsi"/>
            <w:b w:val="0"/>
            <w:sz w:val="22"/>
            <w:szCs w:val="22"/>
            <w:bdr w:val="none" w:sz="0" w:space="0" w:color="auto" w:frame="1"/>
          </w:rPr>
          <w:t xml:space="preserve">Early Pleistocene temperature history of Paleolake </w:t>
        </w:r>
        <w:proofErr w:type="spellStart"/>
        <w:r w:rsidRPr="00800647">
          <w:rPr>
            <w:rStyle w:val="paperlisttitle"/>
            <w:rFonts w:asciiTheme="minorHAnsi" w:hAnsiTheme="minorHAnsi" w:cstheme="minorHAnsi"/>
            <w:b w:val="0"/>
            <w:sz w:val="22"/>
            <w:szCs w:val="22"/>
            <w:bdr w:val="none" w:sz="0" w:space="0" w:color="auto" w:frame="1"/>
          </w:rPr>
          <w:t>Lorenyang</w:t>
        </w:r>
        <w:proofErr w:type="spellEnd"/>
        <w:r w:rsidRPr="00800647">
          <w:rPr>
            <w:rStyle w:val="paperlisttitle"/>
            <w:rFonts w:asciiTheme="minorHAnsi" w:hAnsiTheme="minorHAnsi" w:cstheme="minorHAnsi"/>
            <w:b w:val="0"/>
            <w:sz w:val="22"/>
            <w:szCs w:val="22"/>
            <w:bdr w:val="none" w:sz="0" w:space="0" w:color="auto" w:frame="1"/>
          </w:rPr>
          <w:t>, West Turkana Basin (Kenya)</w:t>
        </w:r>
      </w:hyperlink>
      <w:r w:rsidRPr="00800647">
        <w:rPr>
          <w:b w:val="0"/>
        </w:rPr>
        <w:t xml:space="preserve"> </w:t>
      </w:r>
      <w:r w:rsidRPr="009B2196">
        <w:rPr>
          <w:rFonts w:asciiTheme="minorHAnsi" w:hAnsiTheme="minorHAnsi" w:cstheme="minorHAnsi"/>
          <w:b w:val="0"/>
          <w:sz w:val="22"/>
          <w:szCs w:val="22"/>
        </w:rPr>
        <w:t>AGU Fall Meeting, Washington, D.C.</w:t>
      </w:r>
    </w:p>
    <w:p w14:paraId="664F1E16" w14:textId="77777777" w:rsidR="00002B28" w:rsidRPr="009B2196" w:rsidRDefault="00002B28" w:rsidP="00002B28">
      <w:pPr>
        <w:shd w:val="clear" w:color="auto" w:fill="FFFFFF"/>
        <w:spacing w:after="0" w:line="336" w:lineRule="atLeast"/>
        <w:rPr>
          <w:rStyle w:val="topdisplay"/>
          <w:rFonts w:cstheme="minorHAnsi"/>
          <w:i/>
          <w:iCs/>
          <w:bdr w:val="none" w:sz="0" w:space="0" w:color="auto" w:frame="1"/>
          <w:shd w:val="clear" w:color="auto" w:fill="FFFFFF"/>
          <w:vertAlign w:val="superscript"/>
        </w:rPr>
      </w:pPr>
    </w:p>
    <w:p w14:paraId="04422B01" w14:textId="77777777" w:rsidR="00002B28" w:rsidRPr="008371A0" w:rsidRDefault="00002B28" w:rsidP="00002B28">
      <w:pPr>
        <w:shd w:val="clear" w:color="auto" w:fill="FFFFFF"/>
        <w:spacing w:after="0" w:line="336" w:lineRule="atLeast"/>
        <w:rPr>
          <w:rFonts w:cstheme="minorHAnsi"/>
          <w:shd w:val="clear" w:color="auto" w:fill="FFFFFF"/>
        </w:rPr>
      </w:pPr>
      <w:r w:rsidRPr="008371A0">
        <w:rPr>
          <w:rFonts w:cstheme="minorHAnsi"/>
          <w:shd w:val="clear" w:color="auto" w:fill="FFFFFF"/>
        </w:rPr>
        <w:t xml:space="preserve">During the </w:t>
      </w:r>
      <w:proofErr w:type="spellStart"/>
      <w:r w:rsidRPr="008371A0">
        <w:rPr>
          <w:rFonts w:cstheme="minorHAnsi"/>
          <w:shd w:val="clear" w:color="auto" w:fill="FFFFFF"/>
        </w:rPr>
        <w:t>Plio</w:t>
      </w:r>
      <w:proofErr w:type="spellEnd"/>
      <w:r w:rsidRPr="008371A0">
        <w:rPr>
          <w:rFonts w:cstheme="minorHAnsi"/>
          <w:shd w:val="clear" w:color="auto" w:fill="FFFFFF"/>
        </w:rPr>
        <w:t xml:space="preserve">-Pleistocene, Earth experienced significant changes as Late- to Mid-Pliocene warmth gave way to colder conditions and Northern Hemisphere glaciations intensified. The </w:t>
      </w:r>
      <w:proofErr w:type="spellStart"/>
      <w:r w:rsidRPr="008371A0">
        <w:rPr>
          <w:rFonts w:cstheme="minorHAnsi"/>
          <w:shd w:val="clear" w:color="auto" w:fill="FFFFFF"/>
        </w:rPr>
        <w:t>Plio</w:t>
      </w:r>
      <w:proofErr w:type="spellEnd"/>
      <w:r w:rsidRPr="008371A0">
        <w:rPr>
          <w:rFonts w:cstheme="minorHAnsi"/>
          <w:shd w:val="clear" w:color="auto" w:fill="FFFFFF"/>
        </w:rPr>
        <w:t xml:space="preserve">-Pleistocene also represents a critical time period for hominin evolution and it has long been hypothesized that hominin speciation, extinction and migration events are linked to changes in global or regional climate. Here we report the first organic geochemical temperature reconstructions from paleolake </w:t>
      </w:r>
      <w:proofErr w:type="spellStart"/>
      <w:r w:rsidRPr="008371A0">
        <w:rPr>
          <w:rFonts w:cstheme="minorHAnsi"/>
          <w:shd w:val="clear" w:color="auto" w:fill="FFFFFF"/>
        </w:rPr>
        <w:t>Lorenyang</w:t>
      </w:r>
      <w:proofErr w:type="spellEnd"/>
      <w:r w:rsidRPr="008371A0">
        <w:rPr>
          <w:rFonts w:cstheme="minorHAnsi"/>
          <w:shd w:val="clear" w:color="auto" w:fill="FFFFFF"/>
        </w:rPr>
        <w:t xml:space="preserve"> in the Turkana Basin spanning the interval from ~1.9 to 1.4 Ma (approximately equivalent to Marine Isotope Stages (MIS) 70 to 50). This study is part of the Hominin Sites and Paleolakes Drilling Project (HSPDP), which aims to better characterize the climates and environments that our human ancestors lived in. We analyze isoprenoid and branched glycerol </w:t>
      </w:r>
      <w:proofErr w:type="spellStart"/>
      <w:r w:rsidRPr="008371A0">
        <w:rPr>
          <w:rFonts w:cstheme="minorHAnsi"/>
          <w:shd w:val="clear" w:color="auto" w:fill="FFFFFF"/>
        </w:rPr>
        <w:t>dialkyl</w:t>
      </w:r>
      <w:proofErr w:type="spellEnd"/>
      <w:r w:rsidRPr="008371A0">
        <w:rPr>
          <w:rFonts w:cstheme="minorHAnsi"/>
          <w:shd w:val="clear" w:color="auto" w:fill="FFFFFF"/>
        </w:rPr>
        <w:t xml:space="preserve"> glycerol tetraethers (GDGTs) from drill core WTK-13-A (4.1097◦N, 35.8718◦E) and apply the TEX</w:t>
      </w:r>
      <w:r w:rsidRPr="008371A0">
        <w:rPr>
          <w:rFonts w:cstheme="minorHAnsi"/>
          <w:bdr w:val="none" w:sz="0" w:space="0" w:color="auto" w:frame="1"/>
          <w:shd w:val="clear" w:color="auto" w:fill="FFFFFF"/>
          <w:vertAlign w:val="subscript"/>
        </w:rPr>
        <w:t>86</w:t>
      </w:r>
      <w:r w:rsidRPr="008371A0">
        <w:rPr>
          <w:rFonts w:cstheme="minorHAnsi"/>
          <w:shd w:val="clear" w:color="auto" w:fill="FFFFFF"/>
        </w:rPr>
        <w:t> and MBT’</w:t>
      </w:r>
      <w:r w:rsidRPr="008371A0">
        <w:rPr>
          <w:rFonts w:cstheme="minorHAnsi"/>
          <w:bdr w:val="none" w:sz="0" w:space="0" w:color="auto" w:frame="1"/>
          <w:shd w:val="clear" w:color="auto" w:fill="FFFFFF"/>
          <w:vertAlign w:val="subscript"/>
        </w:rPr>
        <w:t>5Me</w:t>
      </w:r>
      <w:r w:rsidRPr="008371A0">
        <w:rPr>
          <w:rFonts w:cstheme="minorHAnsi"/>
          <w:shd w:val="clear" w:color="auto" w:fill="FFFFFF"/>
        </w:rPr>
        <w:t xml:space="preserve">proxies to reconstruct past temperature. Close agreement between both proxies is noted throughout the entire record. MIS 65 – MIS 70 are particularly pronounced at Paleolake </w:t>
      </w:r>
      <w:proofErr w:type="spellStart"/>
      <w:r w:rsidRPr="008371A0">
        <w:rPr>
          <w:rFonts w:cstheme="minorHAnsi"/>
          <w:shd w:val="clear" w:color="auto" w:fill="FFFFFF"/>
        </w:rPr>
        <w:t>Lorenyang</w:t>
      </w:r>
      <w:proofErr w:type="spellEnd"/>
      <w:r w:rsidRPr="008371A0">
        <w:rPr>
          <w:rFonts w:cstheme="minorHAnsi"/>
          <w:shd w:val="clear" w:color="auto" w:fill="FFFFFF"/>
        </w:rPr>
        <w:t xml:space="preserve"> with large temperature fluctuations occurring between glacial and interglacial cycles. Notably, our new temperature reconstructions span the interval when the </w:t>
      </w:r>
      <w:r w:rsidRPr="008371A0">
        <w:rPr>
          <w:rStyle w:val="Emphasis"/>
          <w:rFonts w:cstheme="minorHAnsi"/>
          <w:bdr w:val="none" w:sz="0" w:space="0" w:color="auto" w:frame="1"/>
          <w:shd w:val="clear" w:color="auto" w:fill="FFFFFF"/>
        </w:rPr>
        <w:t>Homo erectus/ergaster</w:t>
      </w:r>
      <w:r w:rsidRPr="008371A0">
        <w:rPr>
          <w:rFonts w:cstheme="minorHAnsi"/>
          <w:shd w:val="clear" w:color="auto" w:fill="FFFFFF"/>
        </w:rPr>
        <w:t> fossil “</w:t>
      </w:r>
      <w:proofErr w:type="spellStart"/>
      <w:r w:rsidRPr="008371A0">
        <w:rPr>
          <w:rStyle w:val="Emphasis"/>
          <w:rFonts w:cstheme="minorHAnsi"/>
          <w:bdr w:val="none" w:sz="0" w:space="0" w:color="auto" w:frame="1"/>
          <w:shd w:val="clear" w:color="auto" w:fill="FFFFFF"/>
        </w:rPr>
        <w:t>Nariokotome</w:t>
      </w:r>
      <w:proofErr w:type="spellEnd"/>
      <w:r w:rsidRPr="008371A0">
        <w:rPr>
          <w:rStyle w:val="Emphasis"/>
          <w:rFonts w:cstheme="minorHAnsi"/>
          <w:bdr w:val="none" w:sz="0" w:space="0" w:color="auto" w:frame="1"/>
          <w:shd w:val="clear" w:color="auto" w:fill="FFFFFF"/>
        </w:rPr>
        <w:t xml:space="preserve"> Boy</w:t>
      </w:r>
      <w:r w:rsidRPr="008371A0">
        <w:rPr>
          <w:rFonts w:cstheme="minorHAnsi"/>
          <w:shd w:val="clear" w:color="auto" w:fill="FFFFFF"/>
        </w:rPr>
        <w:t>” or “</w:t>
      </w:r>
      <w:r w:rsidRPr="008371A0">
        <w:rPr>
          <w:rStyle w:val="Emphasis"/>
          <w:rFonts w:cstheme="minorHAnsi"/>
          <w:bdr w:val="none" w:sz="0" w:space="0" w:color="auto" w:frame="1"/>
          <w:shd w:val="clear" w:color="auto" w:fill="FFFFFF"/>
        </w:rPr>
        <w:t>Turkana Boy</w:t>
      </w:r>
      <w:r w:rsidRPr="008371A0">
        <w:rPr>
          <w:rFonts w:cstheme="minorHAnsi"/>
          <w:shd w:val="clear" w:color="auto" w:fill="FFFFFF"/>
        </w:rPr>
        <w:t>” lived. This fossil is dated to approximately 1.6 Ma, it was collected from a location close to core WTK-13-A, and it represents the most complete </w:t>
      </w:r>
      <w:r w:rsidRPr="008371A0">
        <w:rPr>
          <w:rStyle w:val="Emphasis"/>
          <w:rFonts w:cstheme="minorHAnsi"/>
          <w:bdr w:val="none" w:sz="0" w:space="0" w:color="auto" w:frame="1"/>
          <w:shd w:val="clear" w:color="auto" w:fill="FFFFFF"/>
        </w:rPr>
        <w:t>Homo erectus/ergaster</w:t>
      </w:r>
      <w:r w:rsidRPr="008371A0">
        <w:rPr>
          <w:rFonts w:cstheme="minorHAnsi"/>
          <w:shd w:val="clear" w:color="auto" w:fill="FFFFFF"/>
        </w:rPr>
        <w:t> specimen recovered thus far (Brown et al., 1985). At around this time, MIS 55 is registered in our TEX</w:t>
      </w:r>
      <w:r w:rsidRPr="008371A0">
        <w:rPr>
          <w:rFonts w:cstheme="minorHAnsi"/>
          <w:bdr w:val="none" w:sz="0" w:space="0" w:color="auto" w:frame="1"/>
          <w:shd w:val="clear" w:color="auto" w:fill="FFFFFF"/>
          <w:vertAlign w:val="subscript"/>
        </w:rPr>
        <w:t>86</w:t>
      </w:r>
      <w:r w:rsidRPr="008371A0">
        <w:rPr>
          <w:rFonts w:cstheme="minorHAnsi"/>
          <w:shd w:val="clear" w:color="auto" w:fill="FFFFFF"/>
        </w:rPr>
        <w:t> and MBT’</w:t>
      </w:r>
      <w:r w:rsidRPr="008371A0">
        <w:rPr>
          <w:rFonts w:cstheme="minorHAnsi"/>
          <w:bdr w:val="none" w:sz="0" w:space="0" w:color="auto" w:frame="1"/>
          <w:shd w:val="clear" w:color="auto" w:fill="FFFFFF"/>
          <w:vertAlign w:val="subscript"/>
        </w:rPr>
        <w:t>5Me</w:t>
      </w:r>
      <w:r w:rsidRPr="008371A0">
        <w:rPr>
          <w:rFonts w:cstheme="minorHAnsi"/>
          <w:shd w:val="clear" w:color="auto" w:fill="FFFFFF"/>
        </w:rPr>
        <w:t xml:space="preserve"> records as one of the warmer </w:t>
      </w:r>
      <w:proofErr w:type="spellStart"/>
      <w:r w:rsidRPr="008371A0">
        <w:rPr>
          <w:rFonts w:cstheme="minorHAnsi"/>
          <w:shd w:val="clear" w:color="auto" w:fill="FFFFFF"/>
        </w:rPr>
        <w:t>interglacials</w:t>
      </w:r>
      <w:proofErr w:type="spellEnd"/>
      <w:r w:rsidRPr="008371A0">
        <w:rPr>
          <w:rFonts w:cstheme="minorHAnsi"/>
          <w:shd w:val="clear" w:color="auto" w:fill="FFFFFF"/>
        </w:rPr>
        <w:t xml:space="preserve"> of the study interval and it is followed by a dramatic cooling into MIS 54. In agreement with the results of </w:t>
      </w:r>
      <w:proofErr w:type="spellStart"/>
      <w:r w:rsidRPr="008371A0">
        <w:rPr>
          <w:rFonts w:cstheme="minorHAnsi"/>
          <w:shd w:val="clear" w:color="auto" w:fill="FFFFFF"/>
        </w:rPr>
        <w:t>Lupien</w:t>
      </w:r>
      <w:proofErr w:type="spellEnd"/>
      <w:r w:rsidRPr="008371A0">
        <w:rPr>
          <w:rFonts w:cstheme="minorHAnsi"/>
          <w:shd w:val="clear" w:color="auto" w:fill="FFFFFF"/>
        </w:rPr>
        <w:t xml:space="preserve"> et al. (2018) who generated a leaf wax hydrogen isotopic hydroclimate reconstruction from the same samples, our temperature records also indicate high variability but little change in the long-term mean from 1.9 to 1.4 Ma. Overall, our GDGT data provide new information on the temperature history of East Africa while adding support to the hypothesis that climate variability played a central role in hominin evolution.</w:t>
      </w:r>
    </w:p>
    <w:p w14:paraId="6C25EB5B" w14:textId="77777777" w:rsidR="00911F32" w:rsidRDefault="00911F32">
      <w:bookmarkStart w:id="0" w:name="_GoBack"/>
      <w:bookmarkEnd w:id="0"/>
    </w:p>
    <w:sectPr w:rsidR="0091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A1BB4"/>
    <w:rsid w:val="009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B28"/>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u.confex.com/agu/fm18/meetingapp.cgi/Paper/431971" TargetMode="External"/><Relationship Id="rId4" Type="http://schemas.openxmlformats.org/officeDocument/2006/relationships/hyperlink" Target="https://agu.confex.com/agu/fm18/meetingapp.cgi/Paper/431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2019-01-03T19:17:00Z</dcterms:created>
  <dcterms:modified xsi:type="dcterms:W3CDTF">2019-01-03T19:17:00Z</dcterms:modified>
</cp:coreProperties>
</file>